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00E76A" w14:textId="120E9C18" w:rsidR="009D7A67" w:rsidRPr="009D7A67" w:rsidRDefault="00A34ECF" w:rsidP="00117FEB">
      <w:pPr>
        <w:rPr>
          <w:rFonts w:asciiTheme="minorHAnsi" w:hAnsiTheme="minorHAnsi" w:cstheme="minorHAnsi"/>
          <w:b/>
        </w:rPr>
      </w:pPr>
      <w:bookmarkStart w:id="0" w:name="_GoBack"/>
      <w:bookmarkEnd w:id="0"/>
      <w:proofErr w:type="spellStart"/>
      <w:r>
        <w:rPr>
          <w:rFonts w:asciiTheme="minorHAnsi" w:hAnsiTheme="minorHAnsi" w:cstheme="minorHAnsi"/>
          <w:b/>
        </w:rPr>
        <w:t>Sendonia</w:t>
      </w:r>
      <w:proofErr w:type="spellEnd"/>
      <w:r w:rsidR="009D7A67" w:rsidRPr="009D7A67">
        <w:rPr>
          <w:rFonts w:asciiTheme="minorHAnsi" w:hAnsiTheme="minorHAnsi" w:cstheme="minorHAnsi"/>
          <w:b/>
        </w:rPr>
        <w:t xml:space="preserve"> CWG Banks and Cash Flow Assessment – Emergency Phase</w:t>
      </w:r>
    </w:p>
    <w:p w14:paraId="75BA827B" w14:textId="77777777" w:rsidR="009D7A67" w:rsidRDefault="009D7A67" w:rsidP="00117FEB">
      <w:pPr>
        <w:rPr>
          <w:rFonts w:asciiTheme="minorHAnsi" w:hAnsiTheme="minorHAnsi" w:cstheme="minorHAnsi"/>
        </w:rPr>
      </w:pPr>
    </w:p>
    <w:p w14:paraId="213009C3" w14:textId="491038E6" w:rsidR="00117FEB" w:rsidRPr="00302C6B" w:rsidRDefault="00117FEB" w:rsidP="00117FEB">
      <w:pPr>
        <w:rPr>
          <w:rFonts w:asciiTheme="minorHAnsi" w:hAnsiTheme="minorHAnsi" w:cstheme="minorHAnsi"/>
        </w:rPr>
      </w:pPr>
      <w:r w:rsidRPr="006C239D">
        <w:rPr>
          <w:rFonts w:asciiTheme="minorHAnsi" w:hAnsiTheme="minorHAnsi" w:cstheme="minorHAnsi"/>
        </w:rPr>
        <w:t>All the 3 major banks (</w:t>
      </w:r>
      <w:proofErr w:type="spellStart"/>
      <w:proofErr w:type="gramStart"/>
      <w:r w:rsidRPr="006C239D">
        <w:rPr>
          <w:rFonts w:asciiTheme="minorHAnsi" w:hAnsiTheme="minorHAnsi" w:cstheme="minorHAnsi"/>
        </w:rPr>
        <w:t>NatBank</w:t>
      </w:r>
      <w:proofErr w:type="spellEnd"/>
      <w:r w:rsidRPr="006C239D">
        <w:rPr>
          <w:rFonts w:asciiTheme="minorHAnsi" w:hAnsiTheme="minorHAnsi" w:cstheme="minorHAnsi"/>
        </w:rPr>
        <w:t xml:space="preserve">  (</w:t>
      </w:r>
      <w:proofErr w:type="gramEnd"/>
      <w:r w:rsidRPr="006C239D">
        <w:rPr>
          <w:rFonts w:asciiTheme="minorHAnsi" w:hAnsiTheme="minorHAnsi" w:cstheme="minorHAnsi"/>
        </w:rPr>
        <w:t xml:space="preserve">NRC’s bank) </w:t>
      </w:r>
      <w:proofErr w:type="spellStart"/>
      <w:r w:rsidRPr="006C239D">
        <w:rPr>
          <w:rFonts w:asciiTheme="minorHAnsi" w:hAnsiTheme="minorHAnsi" w:cstheme="minorHAnsi"/>
        </w:rPr>
        <w:t>AgriBank</w:t>
      </w:r>
      <w:proofErr w:type="spellEnd"/>
      <w:r w:rsidRPr="006C239D">
        <w:rPr>
          <w:rFonts w:asciiTheme="minorHAnsi" w:hAnsiTheme="minorHAnsi" w:cstheme="minorHAnsi"/>
        </w:rPr>
        <w:t xml:space="preserve"> </w:t>
      </w:r>
      <w:proofErr w:type="spellStart"/>
      <w:r w:rsidRPr="006C239D">
        <w:rPr>
          <w:rFonts w:asciiTheme="minorHAnsi" w:hAnsiTheme="minorHAnsi" w:cstheme="minorHAnsi"/>
        </w:rPr>
        <w:t>ComBank</w:t>
      </w:r>
      <w:proofErr w:type="spellEnd"/>
      <w:r w:rsidRPr="006C239D">
        <w:rPr>
          <w:rFonts w:asciiTheme="minorHAnsi" w:hAnsiTheme="minorHAnsi" w:cstheme="minorHAnsi"/>
        </w:rPr>
        <w:t xml:space="preserve"> (IFRC’s bank)) have branches in Cowry. Most of the IDPs have bank accounts and most of those who lost documentation including IDs and bank cards during the floods have replaced them.  Mobile phone services</w:t>
      </w:r>
      <w:r>
        <w:rPr>
          <w:rFonts w:asciiTheme="minorHAnsi" w:hAnsiTheme="minorHAnsi" w:cstheme="minorHAnsi"/>
        </w:rPr>
        <w:t xml:space="preserve"> </w:t>
      </w:r>
      <w:r w:rsidRPr="006C239D">
        <w:rPr>
          <w:rFonts w:asciiTheme="minorHAnsi" w:hAnsiTheme="minorHAnsi" w:cstheme="minorHAnsi"/>
        </w:rPr>
        <w:t>(including mobile wallets) have been restored and at</w:t>
      </w:r>
      <w:r w:rsidR="00335FD6">
        <w:rPr>
          <w:rFonts w:asciiTheme="minorHAnsi" w:hAnsiTheme="minorHAnsi" w:cstheme="minorHAnsi"/>
        </w:rPr>
        <w:t xml:space="preserve"> </w:t>
      </w:r>
      <w:r w:rsidRPr="006C239D">
        <w:rPr>
          <w:rFonts w:asciiTheme="minorHAnsi" w:hAnsiTheme="minorHAnsi" w:cstheme="minorHAnsi"/>
        </w:rPr>
        <w:t>least each HH owns a mobile telephone</w:t>
      </w:r>
    </w:p>
    <w:p w14:paraId="4AF331D7" w14:textId="77777777" w:rsidR="00117FEB" w:rsidRDefault="00117FEB" w:rsidP="00117FEB">
      <w:pPr>
        <w:rPr>
          <w:rFonts w:asciiTheme="minorHAnsi" w:hAnsiTheme="minorHAnsi" w:cstheme="minorHAnsi"/>
        </w:rPr>
      </w:pPr>
      <w:r w:rsidRPr="00302C6B">
        <w:rPr>
          <w:rFonts w:asciiTheme="minorHAnsi" w:hAnsiTheme="minorHAnsi" w:cstheme="minorHAnsi"/>
        </w:rPr>
        <w:t xml:space="preserve">Organizations responding to the emergency have experience and expertise delivering NFI voucher and In-kind responses. The government </w:t>
      </w:r>
      <w:r>
        <w:rPr>
          <w:rFonts w:asciiTheme="minorHAnsi" w:hAnsiTheme="minorHAnsi" w:cstheme="minorHAnsi"/>
        </w:rPr>
        <w:t>is against</w:t>
      </w:r>
      <w:r w:rsidRPr="00302C6B">
        <w:rPr>
          <w:rFonts w:asciiTheme="minorHAnsi" w:hAnsiTheme="minorHAnsi" w:cstheme="minorHAnsi"/>
        </w:rPr>
        <w:t xml:space="preserve"> humanitarian organizations giving </w:t>
      </w:r>
      <w:r>
        <w:rPr>
          <w:rFonts w:asciiTheme="minorHAnsi" w:hAnsiTheme="minorHAnsi" w:cstheme="minorHAnsi"/>
        </w:rPr>
        <w:t>‘handouts’</w:t>
      </w:r>
      <w:r w:rsidRPr="00302C6B">
        <w:rPr>
          <w:rFonts w:asciiTheme="minorHAnsi" w:hAnsiTheme="minorHAnsi" w:cstheme="minorHAnsi"/>
        </w:rPr>
        <w:t xml:space="preserve"> to affected communities </w:t>
      </w:r>
      <w:r>
        <w:rPr>
          <w:rFonts w:asciiTheme="minorHAnsi" w:hAnsiTheme="minorHAnsi" w:cstheme="minorHAnsi"/>
        </w:rPr>
        <w:t>as they believe this creates dependency and laziness</w:t>
      </w:r>
    </w:p>
    <w:p w14:paraId="544DAB9A" w14:textId="28EE25EB" w:rsidR="002532B0" w:rsidRDefault="00117FEB" w:rsidP="00117FEB">
      <w:pPr>
        <w:rPr>
          <w:rFonts w:asciiTheme="minorHAnsi" w:hAnsiTheme="minorHAnsi" w:cstheme="minorHAnsi"/>
        </w:rPr>
      </w:pPr>
      <w:r w:rsidRPr="00594AC3">
        <w:rPr>
          <w:rFonts w:asciiTheme="minorHAnsi" w:hAnsiTheme="minorHAnsi" w:cstheme="minorHAnsi"/>
        </w:rPr>
        <w:t>People with disabilities</w:t>
      </w:r>
      <w:r>
        <w:rPr>
          <w:rFonts w:asciiTheme="minorHAnsi" w:hAnsiTheme="minorHAnsi" w:cstheme="minorHAnsi"/>
        </w:rPr>
        <w:t>, Pregnant mothers and elderly and child-headed HH</w:t>
      </w:r>
      <w:r w:rsidRPr="00594AC3">
        <w:rPr>
          <w:rFonts w:asciiTheme="minorHAnsi" w:hAnsiTheme="minorHAnsi" w:cstheme="minorHAnsi"/>
        </w:rPr>
        <w:t xml:space="preserve"> need more attention and a targeted response to make sure they have the same opportunities as the other groups</w:t>
      </w:r>
    </w:p>
    <w:p w14:paraId="4C8DFF30" w14:textId="77777777" w:rsidR="00312DE3" w:rsidRPr="002532B0" w:rsidRDefault="00312DE3" w:rsidP="00312DE3">
      <w:pPr>
        <w:rPr>
          <w:rFonts w:asciiTheme="minorHAnsi" w:hAnsiTheme="minorHAnsi" w:cstheme="minorHAnsi"/>
          <w:b/>
        </w:rPr>
      </w:pPr>
    </w:p>
    <w:p w14:paraId="7E83BFBB" w14:textId="77777777" w:rsidR="00312DE3" w:rsidRPr="002532B0" w:rsidRDefault="00312DE3" w:rsidP="00312DE3">
      <w:pPr>
        <w:pStyle w:val="Heading2"/>
        <w:spacing w:after="120"/>
        <w:rPr>
          <w:rFonts w:asciiTheme="minorHAnsi" w:hAnsiTheme="minorHAnsi" w:cstheme="minorHAnsi"/>
          <w:color w:val="C00000"/>
          <w:sz w:val="20"/>
          <w:szCs w:val="20"/>
        </w:rPr>
      </w:pPr>
      <w:r w:rsidRPr="002532B0">
        <w:rPr>
          <w:rFonts w:asciiTheme="minorHAnsi" w:hAnsiTheme="minorHAnsi" w:cstheme="minorHAnsi"/>
          <w:color w:val="C00000"/>
          <w:sz w:val="20"/>
          <w:szCs w:val="20"/>
        </w:rPr>
        <w:t>Beneficiary preferences</w:t>
      </w:r>
    </w:p>
    <w:p w14:paraId="1F5F6D56" w14:textId="77777777" w:rsidR="00312DE3" w:rsidRDefault="00312DE3" w:rsidP="00312DE3">
      <w:pPr>
        <w:rPr>
          <w:rFonts w:asciiTheme="minorHAnsi" w:hAnsiTheme="minorHAnsi" w:cstheme="minorHAnsi"/>
        </w:rPr>
      </w:pPr>
      <w:r w:rsidRPr="002532B0">
        <w:rPr>
          <w:rFonts w:asciiTheme="minorHAnsi" w:hAnsiTheme="minorHAnsi" w:cstheme="minorHAnsi"/>
        </w:rPr>
        <w:t>Interviews with beneficiaries and analysis of secondary information (from previous project monitoring) shows that 53% of the beneficiaries prefer receiving cash, 38% prefer receiving in-kind building materials and only the remaining 9% have preference for receiving vouchers.</w:t>
      </w:r>
    </w:p>
    <w:p w14:paraId="53315F11" w14:textId="77777777" w:rsidR="00312DE3" w:rsidRDefault="00312DE3" w:rsidP="00117FEB">
      <w:pPr>
        <w:rPr>
          <w:rFonts w:asciiTheme="minorHAnsi" w:hAnsiTheme="minorHAnsi" w:cstheme="minorHAnsi"/>
        </w:rPr>
      </w:pPr>
    </w:p>
    <w:p w14:paraId="6FFE9687" w14:textId="77777777" w:rsidR="00312DE3" w:rsidRPr="00302C6B" w:rsidRDefault="00312DE3" w:rsidP="00312DE3">
      <w:pPr>
        <w:pStyle w:val="Heading2"/>
        <w:spacing w:after="120"/>
        <w:rPr>
          <w:rFonts w:asciiTheme="minorHAnsi" w:hAnsiTheme="minorHAnsi" w:cstheme="minorHAnsi"/>
          <w:color w:val="C00000"/>
          <w:sz w:val="20"/>
          <w:szCs w:val="20"/>
        </w:rPr>
      </w:pPr>
      <w:r w:rsidRPr="00302C6B">
        <w:rPr>
          <w:rFonts w:asciiTheme="minorHAnsi" w:hAnsiTheme="minorHAnsi" w:cstheme="minorHAnsi"/>
          <w:color w:val="C00000"/>
          <w:sz w:val="20"/>
          <w:szCs w:val="20"/>
        </w:rPr>
        <w:t>Estimated project costs</w:t>
      </w:r>
    </w:p>
    <w:p w14:paraId="27E3FA1B" w14:textId="1172DB33" w:rsidR="00312DE3" w:rsidRDefault="00312DE3" w:rsidP="00117FEB">
      <w:pPr>
        <w:rPr>
          <w:rFonts w:asciiTheme="minorHAnsi" w:hAnsiTheme="minorHAnsi" w:cstheme="minorHAnsi"/>
        </w:rPr>
      </w:pPr>
      <w:r>
        <w:rPr>
          <w:rFonts w:asciiTheme="minorHAnsi" w:hAnsiTheme="minorHAnsi" w:cstheme="minorHAnsi"/>
        </w:rPr>
        <w:t xml:space="preserve">The CWG includes in its report, a summary of initial cost estimates </w:t>
      </w:r>
      <w:r w:rsidR="00E8554F">
        <w:rPr>
          <w:rFonts w:asciiTheme="minorHAnsi" w:hAnsiTheme="minorHAnsi" w:cstheme="minorHAnsi"/>
        </w:rPr>
        <w:t>made by one of its members, for a proposed project which includes a market-based approach for shelter items:</w:t>
      </w:r>
    </w:p>
    <w:p w14:paraId="79B00837" w14:textId="77777777" w:rsidR="00312DE3" w:rsidRDefault="00312DE3" w:rsidP="002532B0">
      <w:pPr>
        <w:spacing w:before="120"/>
        <w:jc w:val="both"/>
        <w:rPr>
          <w:rFonts w:asciiTheme="minorHAnsi" w:hAnsiTheme="minorHAnsi" w:cstheme="minorHAnsi"/>
        </w:rPr>
      </w:pPr>
    </w:p>
    <w:p w14:paraId="71382E1F" w14:textId="4056F322" w:rsidR="00312DE3" w:rsidRPr="00312DE3" w:rsidRDefault="00312DE3" w:rsidP="002532B0">
      <w:pPr>
        <w:spacing w:before="120"/>
        <w:jc w:val="both"/>
        <w:rPr>
          <w:rFonts w:asciiTheme="minorHAnsi" w:hAnsiTheme="minorHAnsi" w:cstheme="minorHAnsi"/>
          <w:b/>
          <w:i/>
        </w:rPr>
      </w:pPr>
      <w:r w:rsidRPr="00312DE3">
        <w:rPr>
          <w:rFonts w:asciiTheme="minorHAnsi" w:hAnsiTheme="minorHAnsi" w:cstheme="minorHAnsi"/>
          <w:b/>
          <w:i/>
        </w:rPr>
        <w:t>Repair construction materials</w:t>
      </w:r>
    </w:p>
    <w:p w14:paraId="42BD0C69" w14:textId="77777777" w:rsidR="002532B0" w:rsidRPr="00302C6B" w:rsidRDefault="002532B0" w:rsidP="002532B0">
      <w:pPr>
        <w:spacing w:before="120"/>
        <w:jc w:val="both"/>
        <w:rPr>
          <w:rFonts w:asciiTheme="minorHAnsi" w:hAnsiTheme="minorHAnsi" w:cstheme="minorHAnsi"/>
        </w:rPr>
      </w:pPr>
      <w:r w:rsidRPr="00302C6B">
        <w:rPr>
          <w:rFonts w:asciiTheme="minorHAnsi" w:hAnsiTheme="minorHAnsi" w:cstheme="minorHAnsi"/>
        </w:rPr>
        <w:t xml:space="preserve">Based on previous experiences, the teams were able to estimate the project costs, per beneficiary, for different modalities providing beneficiaries with the same </w:t>
      </w:r>
      <w:r>
        <w:rPr>
          <w:rFonts w:asciiTheme="minorHAnsi" w:hAnsiTheme="minorHAnsi" w:cstheme="minorHAnsi"/>
        </w:rPr>
        <w:t>building materials</w:t>
      </w:r>
      <w:r w:rsidRPr="00302C6B">
        <w:rPr>
          <w:rFonts w:asciiTheme="minorHAnsi" w:hAnsiTheme="minorHAnsi" w:cstheme="minorHAnsi"/>
        </w:rPr>
        <w:t xml:space="preserve">. The commodity costs for cash and vouchers were estimated based on monitoring the average </w:t>
      </w:r>
      <w:r>
        <w:rPr>
          <w:rFonts w:asciiTheme="minorHAnsi" w:hAnsiTheme="minorHAnsi" w:cstheme="minorHAnsi"/>
        </w:rPr>
        <w:t>building materials</w:t>
      </w:r>
      <w:r w:rsidRPr="00302C6B">
        <w:rPr>
          <w:rFonts w:asciiTheme="minorHAnsi" w:hAnsiTheme="minorHAnsi" w:cstheme="minorHAnsi"/>
        </w:rPr>
        <w:t xml:space="preserve"> beneficiaries redeemed or purchased in previous projects. </w:t>
      </w:r>
    </w:p>
    <w:p w14:paraId="6991ED56" w14:textId="77777777" w:rsidR="002532B0" w:rsidRPr="00302C6B" w:rsidRDefault="002532B0" w:rsidP="002532B0">
      <w:pPr>
        <w:pStyle w:val="ListParagraph"/>
        <w:numPr>
          <w:ilvl w:val="0"/>
          <w:numId w:val="1"/>
        </w:numPr>
        <w:jc w:val="both"/>
        <w:rPr>
          <w:rFonts w:asciiTheme="minorHAnsi" w:hAnsiTheme="minorHAnsi" w:cstheme="minorHAnsi"/>
        </w:rPr>
      </w:pPr>
      <w:r w:rsidRPr="00302C6B">
        <w:rPr>
          <w:rFonts w:asciiTheme="minorHAnsi" w:hAnsiTheme="minorHAnsi" w:cstheme="minorHAnsi"/>
        </w:rPr>
        <w:t xml:space="preserve">In-kind (procured from </w:t>
      </w:r>
      <w:r>
        <w:rPr>
          <w:rFonts w:asciiTheme="minorHAnsi" w:hAnsiTheme="minorHAnsi" w:cstheme="minorHAnsi"/>
        </w:rPr>
        <w:t xml:space="preserve">Fort </w:t>
      </w:r>
      <w:proofErr w:type="spellStart"/>
      <w:r>
        <w:rPr>
          <w:rFonts w:asciiTheme="minorHAnsi" w:hAnsiTheme="minorHAnsi" w:cstheme="minorHAnsi"/>
        </w:rPr>
        <w:t>Dipps</w:t>
      </w:r>
      <w:proofErr w:type="spellEnd"/>
      <w:r w:rsidRPr="00302C6B">
        <w:rPr>
          <w:rFonts w:asciiTheme="minorHAnsi" w:hAnsiTheme="minorHAnsi" w:cstheme="minorHAnsi"/>
        </w:rPr>
        <w:t xml:space="preserve">) (commodity + transport costs + operational overhead costs) = </w:t>
      </w:r>
      <w:r w:rsidRPr="00302C6B">
        <w:rPr>
          <w:rFonts w:asciiTheme="minorHAnsi" w:hAnsiTheme="minorHAnsi" w:cstheme="minorHAnsi"/>
          <w:b/>
        </w:rPr>
        <w:t>104,000 CHF</w:t>
      </w:r>
    </w:p>
    <w:p w14:paraId="1E4AEA3D" w14:textId="77777777" w:rsidR="002532B0" w:rsidRPr="00302C6B" w:rsidRDefault="002532B0" w:rsidP="002532B0">
      <w:pPr>
        <w:pStyle w:val="ListParagraph"/>
        <w:numPr>
          <w:ilvl w:val="0"/>
          <w:numId w:val="1"/>
        </w:numPr>
        <w:jc w:val="both"/>
        <w:rPr>
          <w:rFonts w:asciiTheme="minorHAnsi" w:hAnsiTheme="minorHAnsi" w:cstheme="minorHAnsi"/>
          <w:b/>
        </w:rPr>
      </w:pPr>
      <w:r w:rsidRPr="00302C6B">
        <w:rPr>
          <w:rFonts w:asciiTheme="minorHAnsi" w:hAnsiTheme="minorHAnsi" w:cstheme="minorHAnsi"/>
        </w:rPr>
        <w:t xml:space="preserve">Vouchers (transfer value/commodities + procurement cost + internal transport costs + operational overhead costs) = </w:t>
      </w:r>
      <w:r w:rsidRPr="00302C6B">
        <w:rPr>
          <w:rFonts w:asciiTheme="minorHAnsi" w:hAnsiTheme="minorHAnsi" w:cstheme="minorHAnsi"/>
          <w:b/>
        </w:rPr>
        <w:t>89.300 CHF</w:t>
      </w:r>
    </w:p>
    <w:p w14:paraId="3B08F283" w14:textId="77777777" w:rsidR="002532B0" w:rsidRPr="003A6782" w:rsidRDefault="002532B0" w:rsidP="003A6782">
      <w:pPr>
        <w:pStyle w:val="ListParagraph"/>
        <w:numPr>
          <w:ilvl w:val="0"/>
          <w:numId w:val="1"/>
        </w:numPr>
        <w:rPr>
          <w:rFonts w:asciiTheme="minorHAnsi" w:hAnsiTheme="minorHAnsi" w:cstheme="minorHAnsi"/>
          <w:b/>
        </w:rPr>
      </w:pPr>
      <w:r w:rsidRPr="003A6782">
        <w:rPr>
          <w:rFonts w:asciiTheme="minorHAnsi" w:hAnsiTheme="minorHAnsi" w:cstheme="minorHAnsi"/>
        </w:rPr>
        <w:t xml:space="preserve">Cash (transfer value + operational overhead costs) = </w:t>
      </w:r>
      <w:r w:rsidRPr="003A6782">
        <w:rPr>
          <w:rFonts w:asciiTheme="minorHAnsi" w:hAnsiTheme="minorHAnsi" w:cstheme="minorHAnsi"/>
          <w:b/>
        </w:rPr>
        <w:t>77.900 CHF</w:t>
      </w:r>
    </w:p>
    <w:p w14:paraId="4895E047" w14:textId="77777777" w:rsidR="002532B0" w:rsidRDefault="002532B0" w:rsidP="002532B0">
      <w:pPr>
        <w:rPr>
          <w:rFonts w:asciiTheme="minorHAnsi" w:hAnsiTheme="minorHAnsi" w:cstheme="minorHAnsi"/>
        </w:rPr>
      </w:pPr>
    </w:p>
    <w:p w14:paraId="62BA31C5" w14:textId="1C144B47" w:rsidR="00312DE3" w:rsidRPr="00312DE3" w:rsidRDefault="00312DE3" w:rsidP="002532B0">
      <w:pPr>
        <w:rPr>
          <w:rFonts w:asciiTheme="minorHAnsi" w:hAnsiTheme="minorHAnsi" w:cstheme="minorHAnsi"/>
          <w:b/>
          <w:i/>
        </w:rPr>
      </w:pPr>
      <w:r w:rsidRPr="00312DE3">
        <w:rPr>
          <w:rFonts w:asciiTheme="minorHAnsi" w:hAnsiTheme="minorHAnsi" w:cstheme="minorHAnsi"/>
          <w:b/>
          <w:i/>
        </w:rPr>
        <w:t>NFI basket of items</w:t>
      </w:r>
    </w:p>
    <w:p w14:paraId="26C20C19" w14:textId="77777777" w:rsidR="00312DE3" w:rsidRPr="00302C6B" w:rsidRDefault="00312DE3" w:rsidP="00312DE3">
      <w:pPr>
        <w:spacing w:before="120"/>
        <w:jc w:val="both"/>
        <w:rPr>
          <w:rFonts w:asciiTheme="minorHAnsi" w:hAnsiTheme="minorHAnsi" w:cstheme="minorHAnsi"/>
        </w:rPr>
      </w:pPr>
      <w:r w:rsidRPr="00302C6B">
        <w:rPr>
          <w:rFonts w:asciiTheme="minorHAnsi" w:hAnsiTheme="minorHAnsi" w:cstheme="minorHAnsi"/>
        </w:rPr>
        <w:t xml:space="preserve">Based on previous experiences, the teams were able to estimate the project costs, per beneficiary, for different modalities providing beneficiaries with the same NFI kit items. The commodity costs for cash and vouchers were estimated based on monitoring the average NFI kit items beneficiaries redeemed or purchased in previous projects. </w:t>
      </w:r>
    </w:p>
    <w:p w14:paraId="7D56E781" w14:textId="77777777" w:rsidR="00312DE3" w:rsidRPr="00302C6B" w:rsidRDefault="00312DE3" w:rsidP="00312DE3">
      <w:pPr>
        <w:pStyle w:val="ListParagraph"/>
        <w:numPr>
          <w:ilvl w:val="0"/>
          <w:numId w:val="1"/>
        </w:numPr>
        <w:jc w:val="both"/>
        <w:rPr>
          <w:rFonts w:asciiTheme="minorHAnsi" w:hAnsiTheme="minorHAnsi" w:cstheme="minorHAnsi"/>
        </w:rPr>
      </w:pPr>
      <w:r w:rsidRPr="00302C6B">
        <w:rPr>
          <w:rFonts w:asciiTheme="minorHAnsi" w:hAnsiTheme="minorHAnsi" w:cstheme="minorHAnsi"/>
        </w:rPr>
        <w:t xml:space="preserve">In-kind (procured from Mohar capital) (commodity + transport costs + operational overhead costs) = </w:t>
      </w:r>
      <w:r w:rsidRPr="00302C6B">
        <w:rPr>
          <w:rFonts w:asciiTheme="minorHAnsi" w:hAnsiTheme="minorHAnsi" w:cstheme="minorHAnsi"/>
          <w:b/>
        </w:rPr>
        <w:t>104,000 CHF</w:t>
      </w:r>
    </w:p>
    <w:p w14:paraId="09FC4A8F" w14:textId="77777777" w:rsidR="00312DE3" w:rsidRPr="00302C6B" w:rsidRDefault="00312DE3" w:rsidP="00312DE3">
      <w:pPr>
        <w:pStyle w:val="ListParagraph"/>
        <w:numPr>
          <w:ilvl w:val="0"/>
          <w:numId w:val="1"/>
        </w:numPr>
        <w:jc w:val="both"/>
        <w:rPr>
          <w:rFonts w:asciiTheme="minorHAnsi" w:hAnsiTheme="minorHAnsi" w:cstheme="minorHAnsi"/>
          <w:b/>
        </w:rPr>
      </w:pPr>
      <w:r w:rsidRPr="00302C6B">
        <w:rPr>
          <w:rFonts w:asciiTheme="minorHAnsi" w:hAnsiTheme="minorHAnsi" w:cstheme="minorHAnsi"/>
        </w:rPr>
        <w:t xml:space="preserve">Vouchers (transfer value/commodities + procurement cost + internal transport costs + operational overhead costs) = </w:t>
      </w:r>
      <w:r w:rsidRPr="00302C6B">
        <w:rPr>
          <w:rFonts w:asciiTheme="minorHAnsi" w:hAnsiTheme="minorHAnsi" w:cstheme="minorHAnsi"/>
          <w:b/>
        </w:rPr>
        <w:t>89.300 CHF</w:t>
      </w:r>
    </w:p>
    <w:p w14:paraId="695E9D7B" w14:textId="7E4FF1A4" w:rsidR="00312DE3" w:rsidRPr="003A6782" w:rsidRDefault="00312DE3" w:rsidP="003A6782">
      <w:pPr>
        <w:pStyle w:val="ListParagraph"/>
        <w:numPr>
          <w:ilvl w:val="0"/>
          <w:numId w:val="1"/>
        </w:numPr>
        <w:rPr>
          <w:rFonts w:asciiTheme="minorHAnsi" w:hAnsiTheme="minorHAnsi" w:cstheme="minorHAnsi"/>
        </w:rPr>
      </w:pPr>
      <w:r w:rsidRPr="003A6782">
        <w:rPr>
          <w:rFonts w:asciiTheme="minorHAnsi" w:hAnsiTheme="minorHAnsi" w:cstheme="minorHAnsi"/>
        </w:rPr>
        <w:t xml:space="preserve">Cash (transfer value + internal transport costs + operational overhead costs) = </w:t>
      </w:r>
      <w:r w:rsidRPr="003A6782">
        <w:rPr>
          <w:rFonts w:asciiTheme="minorHAnsi" w:hAnsiTheme="minorHAnsi" w:cstheme="minorHAnsi"/>
          <w:b/>
        </w:rPr>
        <w:t>77.900 CHF</w:t>
      </w:r>
    </w:p>
    <w:sectPr w:rsidR="00312DE3" w:rsidRPr="003A6782" w:rsidSect="008A30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yriad Pro">
    <w:altName w:val="Segoe UI"/>
    <w:charset w:val="00"/>
    <w:family w:val="auto"/>
    <w:pitch w:val="variable"/>
    <w:sig w:usb0="20000287" w:usb1="00000001"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A294DFA"/>
    <w:multiLevelType w:val="hybridMultilevel"/>
    <w:tmpl w:val="40C89068"/>
    <w:lvl w:ilvl="0" w:tplc="4A3A194C">
      <w:start w:val="1"/>
      <w:numFmt w:val="bullet"/>
      <w:lvlText w:val=""/>
      <w:lvlJc w:val="left"/>
      <w:pPr>
        <w:tabs>
          <w:tab w:val="num" w:pos="720"/>
        </w:tabs>
        <w:ind w:left="720" w:hanging="360"/>
      </w:pPr>
      <w:rPr>
        <w:rFonts w:ascii="Wingdings" w:hAnsi="Wingdings" w:hint="default"/>
        <w:color w:val="ED7D31" w:themeColor="accent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7FEB"/>
    <w:rsid w:val="00117FEB"/>
    <w:rsid w:val="002532B0"/>
    <w:rsid w:val="00312DE3"/>
    <w:rsid w:val="00335FD6"/>
    <w:rsid w:val="003A6782"/>
    <w:rsid w:val="008A302A"/>
    <w:rsid w:val="00940706"/>
    <w:rsid w:val="009D7A67"/>
    <w:rsid w:val="00A34ECF"/>
    <w:rsid w:val="00E855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A8F9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17FEB"/>
    <w:pPr>
      <w:spacing w:after="120"/>
    </w:pPr>
    <w:rPr>
      <w:rFonts w:ascii="Myriad Pro" w:eastAsia="Times New Roman" w:hAnsi="Myriad Pro" w:cs="Times New Roman"/>
      <w:sz w:val="20"/>
      <w:szCs w:val="20"/>
      <w:lang w:val="en-GB" w:eastAsia="ja-JP"/>
    </w:rPr>
  </w:style>
  <w:style w:type="paragraph" w:styleId="Heading2">
    <w:name w:val="heading 2"/>
    <w:basedOn w:val="Normal"/>
    <w:next w:val="Normal"/>
    <w:link w:val="Heading2Char"/>
    <w:qFormat/>
    <w:rsid w:val="002532B0"/>
    <w:pPr>
      <w:keepNext/>
      <w:spacing w:before="120" w:after="160"/>
      <w:outlineLvl w:val="1"/>
    </w:pPr>
    <w:rPr>
      <w:rFonts w:asciiTheme="majorHAnsi" w:hAnsiTheme="majorHAnsi"/>
      <w:color w:val="0285BE"/>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532B0"/>
    <w:pPr>
      <w:spacing w:before="120"/>
      <w:ind w:left="720"/>
    </w:pPr>
    <w:rPr>
      <w:rFonts w:eastAsiaTheme="minorEastAsia" w:cstheme="minorBidi"/>
    </w:rPr>
  </w:style>
  <w:style w:type="character" w:customStyle="1" w:styleId="ListParagraphChar">
    <w:name w:val="List Paragraph Char"/>
    <w:basedOn w:val="DefaultParagraphFont"/>
    <w:link w:val="ListParagraph"/>
    <w:uiPriority w:val="34"/>
    <w:rsid w:val="002532B0"/>
    <w:rPr>
      <w:rFonts w:ascii="Myriad Pro" w:eastAsiaTheme="minorEastAsia" w:hAnsi="Myriad Pro"/>
      <w:sz w:val="20"/>
      <w:szCs w:val="20"/>
      <w:lang w:val="en-GB" w:eastAsia="ja-JP"/>
    </w:rPr>
  </w:style>
  <w:style w:type="character" w:customStyle="1" w:styleId="Heading2Char">
    <w:name w:val="Heading 2 Char"/>
    <w:basedOn w:val="DefaultParagraphFont"/>
    <w:link w:val="Heading2"/>
    <w:rsid w:val="002532B0"/>
    <w:rPr>
      <w:rFonts w:asciiTheme="majorHAnsi" w:eastAsia="Times New Roman" w:hAnsiTheme="majorHAnsi" w:cs="Times New Roman"/>
      <w:color w:val="0285BE"/>
      <w:sz w:val="28"/>
      <w:szCs w:val="28"/>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409</Words>
  <Characters>2333</Characters>
  <Application>Microsoft Office Word</Application>
  <DocSecurity>0</DocSecurity>
  <Lines>19</Lines>
  <Paragraphs>5</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Beneficiary preferences</vt:lpstr>
    </vt:vector>
  </TitlesOfParts>
  <Company/>
  <LinksUpToDate>false</LinksUpToDate>
  <CharactersWithSpaces>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kennedy</dc:creator>
  <cp:keywords/>
  <dc:description/>
  <cp:lastModifiedBy>Timothy Quick</cp:lastModifiedBy>
  <cp:revision>5</cp:revision>
  <dcterms:created xsi:type="dcterms:W3CDTF">2019-01-30T12:11:00Z</dcterms:created>
  <dcterms:modified xsi:type="dcterms:W3CDTF">2019-02-05T16:11:00Z</dcterms:modified>
</cp:coreProperties>
</file>